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Назначение системы управления Boeing 737NG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Совокупность бортовых устройств, обеспечивающих управление движением самолета, называют системой управления самолетом. Поскольку процесс управления самолетом осуществляется пилотом, находящимся в кабине экипажа, а элероны и рули находятся на крыле и хвостовом оперении, между этими участками должна быть конструктивная связь. Она должна обеспечить высокую надежность, легкость и эффективность управления положением самолета. К системе основного управления самолетом относятся: элероны, руль высоты и руль направления. Элементы управления самолетом управляются дублированной гидросистемой; гидросистема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гидросистемаB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Каждая отдельно взятая система может управлять всеми основными элементами управления самолета. Элероны и руль высоты может управляться вручную посредством механической проводки. Руль направления может управляться резервной гидравлической системой.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Элементы системы вспомогательного управления (закрылки, предкрылки,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спойлеры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управляются гидросистемой B, а в случае её отказа – резервной гидросистемой или электрически.</w:t>
      </w:r>
    </w:p>
    <w:p w:rsidR="005C30CD" w:rsidRDefault="005C30CD" w:rsidP="005C30CD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Состав системы управления самолетом Boeing 737NG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Пилоты воздействуют на систему управления самолетом при помощи следующих элементов: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Две штурвальные колонки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Два штурвальных колеса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Две пары педалей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Рычаг интерцепторов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Рычаг управления закрылками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Выключатели триммера стабилизатора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Переключатель пересиливания триммера стабилизатора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Переключатели триммера стабилизатора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Колесо триммера стабилизатора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Переключатели триммера элеронов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Переключатель триммера РН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Переключатели демпфера рыскания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>Переключатели системы управления</w:t>
      </w:r>
    </w:p>
    <w:p w:rsidR="005C30CD" w:rsidRDefault="005C30CD" w:rsidP="005C30CD">
      <w:pPr>
        <w:pStyle w:val="a3"/>
        <w:numPr>
          <w:ilvl w:val="0"/>
          <w:numId w:val="2"/>
        </w:numPr>
      </w:pPr>
      <w:r>
        <w:t xml:space="preserve">Переключатель </w:t>
      </w:r>
      <w:proofErr w:type="spellStart"/>
      <w:r>
        <w:t>спойлеров</w:t>
      </w:r>
      <w:proofErr w:type="spellEnd"/>
    </w:p>
    <w:p w:rsidR="005C30CD" w:rsidRDefault="005C30CD" w:rsidP="005C30CD">
      <w:pPr>
        <w:pStyle w:val="a3"/>
        <w:numPr>
          <w:ilvl w:val="0"/>
          <w:numId w:val="2"/>
        </w:numPr>
      </w:pPr>
      <w:r>
        <w:t>Дублирующий рычаг управления закрылками</w:t>
      </w:r>
    </w:p>
    <w:p w:rsidR="005C30CD" w:rsidRDefault="005C30CD" w:rsidP="005C30CD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3371850"/>
            <wp:effectExtent l="0" t="0" r="0" b="0"/>
            <wp:wrapSquare wrapText="bothSides"/>
            <wp:docPr id="6" name="Рисунок 6" descr="http://www.studfiles.ru/html/2706/282/html_jwm4R1ZD1J.3xLo/htmlconvd-7lp6pD_html_4ca44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282/html_jwm4R1ZD1J.3xLo/htmlconvd-7lp6pD_html_4ca44d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эродинамические управляющие поверхности В-737NG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Элементы системы управления: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Интерцепторы-элероны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Предкрылки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Крюгера</w:t>
      </w:r>
      <w:proofErr w:type="spellEnd"/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Выдвижные предкрылки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Элероны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Закрылки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Тормозные интерцепторы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Руль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напрарления</w:t>
      </w:r>
      <w:proofErr w:type="spellEnd"/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Стабилизатор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Руль высоты</w:t>
      </w:r>
    </w:p>
    <w:p w:rsidR="005C30CD" w:rsidRDefault="005C30CD" w:rsidP="005C30CD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Сервокомпенсатор РВ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Описание принципиальных схем и алгоритмы эксплуатации системы управления Boeing 737NG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С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0" cy="6515100"/>
            <wp:effectExtent l="0" t="0" r="0" b="0"/>
            <wp:wrapSquare wrapText="bothSides"/>
            <wp:docPr id="5" name="Рисунок 5" descr="http://www.studfiles.ru/html/2706/282/html_jwm4R1ZD1J.3xLo/htmlconvd-7lp6pD_html_m5b9ef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282/html_jwm4R1ZD1J.3xLo/htmlconvd-7lp6pD_html_m5b9ef8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u w:val="single"/>
        </w:rPr>
        <w:t>хема управления самолета по крену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Управление по крену осуществляется с помощью гидравлически управляемыми элеронами и интерцепторами. Пилот управляет ими с помощью штурвального колеса.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Оба штурвальных колеса соединены между собой механической проводкой, для обеспечения механической связи с двумя раздельными блоками управления гидроусилителей. Гидросистемы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AиBобеспечивают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давлением два гидроусилителя. Два переключателя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панелиFlightControlконтролируют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положение клапанов отсечки подачи гидравлической жидкости для каждого элерона. Эти переключатели также контролируют подачу давления для руля высоты и руля направления.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Левая и правая секции элеронов соединены вместе тросовой проводкой. В случае полного отказа гидросистемы, управление элеронами осуществляется механически. Если система управления элеронами заклинила, то механизм связи штурвалов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aileron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transfer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mechanism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позволяет второму пилоту управлять самолет по крену с помощью интерцепторов, в обход системы управления элеронами.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Механизм связи штурвалов, по усилиям на штурвалах КВС и Второго Пилота, определяет какая система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заклинила(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управления элеронами или интерцепторами), и от какого штурвального колеса(КВС или ВП) может обеспечиваться контроль самолета по крену.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Рулевой привод элеронов соединен тросовой проводкой с левой штурвальной колонкой через загрузочный механизм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aileronfeelandcenteringunit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Данное устройство имитирует аэродинамическую нагрузку на элеронах, при работающем рулевом приводе, а также смещает положение нулевых усилий (механизм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триммерного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эффекта). Пользоваться механизмом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триммерного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эффекта элеронов можно только при отключенном автопилоте, поскольку автопилот управляет рулевым приводом напрямую, и будет пересиливать любые перемещения загрузочного механизма. Зато в момент отключения автопилота эти усилия сразу же передадутся на проводку управления, что приведет к неожидаемому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кренению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самолета. Для управления механизмом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триммерного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эффекта установлено два переключателя. Один из них определяет сторону смещения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нейтрали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 второй включает питание электродвигателя.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Триммирование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произойдет только при нажатии на оба переключателя одновременно.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Гидавлические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системы А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 управляют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разными секциями интерцепторы на каждом крыле, для не допущения дисбаланса в случае отказа одной из систем.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Интерцепторы активируются при повороте штурвала на 10° и более.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Механизм управления интерцепторами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spoilermixer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соединен механически с системой управления элеронами и управляет гидроусилителями интерцепторов, для их отклонения пропорционально отклонению элеронов.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Управление самолета по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</w:rPr>
        <w:t>тангажу</w:t>
      </w:r>
      <w:proofErr w:type="spellEnd"/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0" cy="6629400"/>
            <wp:effectExtent l="0" t="0" r="0" b="0"/>
            <wp:wrapSquare wrapText="bothSides"/>
            <wp:docPr id="4" name="Рисунок 4" descr="http://www.studfiles.ru/html/2706/282/html_jwm4R1ZD1J.3xLo/htmlconvd-7lp6pD_html_a88d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282/html_jwm4R1ZD1J.3xLo/htmlconvd-7lp6pD_html_a88dc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Штурвальные колонки соединены между собой через механизм связи штурвалов, который позволяет управлять рулем высоты если часть системы управления РВ заклинила. Так же штурвальные колонки соединены тросовой проводкой с гидроусилителями РВ. Гидроприводы руля высоты питаются от гидросистем А и В.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Автопилот передает сигнал по кабелю на загрузочный механизм РВ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elevatorfeelandcenteringunit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Этот сигнал вместе с информацией о положении стабилизатора, давлении в гидросистеме и параметрами с ПВД передается в вычислитель гидравлического имитатора аэродинамической нагрузки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feelelevatorcomputer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который перемещает стабилизатор на необходимый угол.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Загружателя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штурвала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feelandcenteringunit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искусственно создает усилия на штурвальных колонках.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СВС передает информацию о воздушной скорости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FCC(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вычислитель системы управления).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FCCв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свою очередь передает сигнал на механизм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системыMachtrim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(система улучшения устойчивости по скорости на больших числах М), который управляет загрузочным механизмом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elevatorfeelandcenteringunit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для изменения положения РВ.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Стабилизатор управляется электродвигателями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триммирования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один из них управляется вручную от переключателей на штурвалах, второй - от автопилота. На NG электродвигатель один, а управляется он от штурвала или автопилотом по независимым каналам.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Также обеспечена механическая связь со стабилизатором с помощью колеса управления и тросовой проводки. На случай заклинивания любого из электродвигателей предусмотрена муфта, разъединяющая проводку управления стабилизатором от электродвигателей. Чтобы сработала муфта, надо приложить усилие к колесу управления и сделать примерно пол оборота.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Режим «OVERRIDE» необходимо использовать при заклинении проводки рулём высоты, чтобы управлять самолётом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тангажу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 помощью только одного стабилизатора.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Система улучшения устойчивости по скорости на малых скоростях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System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управляет стабилизатором с помощью сервопривода автопилота для обеспечения устойчивости по скорости. Её срабатывание возможно вскоре после взлета или при уходе на второй круг. Условиями, способствующими срабатыванию, являются малый вес, задняя центровка и высокий режим работы двигателей. Работает только при отключенном автопилоте.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Управление самолета по рысканию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Перемещения педалей управления по тросовой проводке передаются на вертикально расположенную трубу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torque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в киле самолета. Вращение этой трубы через тяги связи передается на главный рулевой привод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PCU) и резервный рулевой привод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standby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PCU). К этой же трубе снизу прикреплен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загружатель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педалей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centering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который имитирует аэродинамическую нагрузку на педалях и обеспечивает фиксированное положение руля направления при работе рулевого привода.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Главный рулевой привод работает от гидросистем А и В. Резервный привод питается от резервной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standby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гидросистемы. Работа любой из трех гидросистем полностью обеспечивает путевое управление. В главный рулевой привод встроен исполнительный механизм демпфера рысканья. Он запитан от гидросистемы В.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Система связи штурвального колеса с рулём направления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Cистема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автоматически отклоняющая руль направления при отклонении командирского штурвального колеса по крену WTRIS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wheel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rudder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interconnect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system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Данная система включается в работу, когда оба переключателя FLT CONTROL находятся в положении STB RUD и включен YAW DAMPER, то есть когда самолёт управляется вручную мускульными усилиями пилотов. При этом резервный рулевой привод отклоняет руль направления для облегчения управления самолётом по крену.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Система WTRIS работает только при числе М менее 0,4. В промежутке чисел М от 0,3 до 0,4 эффективность системы уменьшается от 1 до нуля. Максимальный угол отклонения руля направления от системы WTRIS: 2° - закрылки убраны, 2,5° - закрылки выпущены.</w:t>
      </w:r>
    </w:p>
    <w:p w:rsidR="005C30CD" w:rsidRDefault="005C30CD" w:rsidP="005C30CD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43350" cy="4800600"/>
            <wp:effectExtent l="0" t="0" r="0" b="0"/>
            <wp:wrapSquare wrapText="bothSides"/>
            <wp:docPr id="3" name="Рисунок 3" descr="http://www.studfiles.ru/html/2706/282/html_jwm4R1ZD1J.3xLo/htmlconvd-7lp6pD_html_bb10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282/html_jwm4R1ZD1J.3xLo/htmlconvd-7lp6pD_html_bb1004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Схема управления рулем направления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С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38600" cy="4457700"/>
            <wp:effectExtent l="0" t="0" r="0" b="0"/>
            <wp:wrapSquare wrapText="bothSides"/>
            <wp:docPr id="2" name="Рисунок 2" descr="http://www.studfiles.ru/html/2706/282/html_jwm4R1ZD1J.3xLo/htmlconvd-7lp6pD_html_m37c616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2706/282/html_jwm4R1ZD1J.3xLo/htmlconvd-7lp6pD_html_m37c6160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истема управления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</w:rPr>
        <w:t>спойлерами</w:t>
      </w:r>
      <w:proofErr w:type="spellEnd"/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Секции интерцепторов-элеронов запитаны симметрично от гидросистем А и В. Поэтому при отказе одной из них эффективность интерцепторов в управлении самолётом по крену уменьшается в два раза.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Секции тормозных интерцепторов запитаны от гидросистемы А. Этим объясняется парадокс, что при отказе гидросистемы А и посадочных закрылках 40 потребная посадочная дистанция больше, чем при отказе гидросистемы В и посадочных закрылках 15.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Система управления закрылками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Электронная система управления закрылками/предкрылками позволяет контролировать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аэродинамические нагрузки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действующие на закрылки. Система приводится в действие автоматически при выпущенных закрылках в положениях 30 и 40 градусов. При этом рычаг управления закрылками не перемещается во время автоматической уборки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довыпуска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закрылков.</w:t>
      </w:r>
    </w:p>
    <w:p w:rsidR="005C30CD" w:rsidRDefault="005C30CD" w:rsidP="005C30CD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91000" cy="6210300"/>
            <wp:effectExtent l="0" t="0" r="0" b="0"/>
            <wp:wrapSquare wrapText="bothSides"/>
            <wp:docPr id="1" name="Рисунок 1" descr="http://www.studfiles.ru/html/2706/282/html_jwm4R1ZD1J.3xLo/htmlconvd-7lp6pD_html_75641a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files.ru/html/2706/282/html_jwm4R1ZD1J.3xLo/htmlconvd-7lp6pD_html_75641ae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Система управления механизацией крыла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Предкрылки питаются от гидравлической системы В. Кран управления предкрылками находится возле привода закрылков, таким образом закрылки и предкрылки управляются совместно. В случае отказа гидросистемы В, закрылки и предкрылки выпускаются в крайнее положение с помощью запасной гидравлической системы. В этом случае необходимо переключатель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AlternateFlapsустановить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положениеDown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Закрылки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Крюгера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выпускаются от запасной гидравлической системы.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Выводы</w:t>
      </w:r>
    </w:p>
    <w:p w:rsidR="005C30CD" w:rsidRDefault="005C30CD" w:rsidP="005C30C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 время анализа системы управления самолетом В737NGвыявились следующие её недостатки:</w:t>
      </w:r>
    </w:p>
    <w:p w:rsidR="005C30CD" w:rsidRDefault="005C30CD" w:rsidP="005C30CD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Сервокомпенсатор руля высоты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elevator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предназначенный для уменьшения усилий на штурвале при прямом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безбустерном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управлении самолётом, может провоцировать автоколебания проводки управления. (В РЛЭ B737-800 описаны случаи вибрации сервокомпенсатора на приборной скорости более 275 узлов в диапазоне высот от 10000 до 25000 футов, при этом перед полётом производилась процедура удаления льда/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противообледенения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стабилизатора.) В связи с тем, QRH (ККП) в данном случае рекомендует плавно уменьшить скорость до прекращения вибрации, не использовать интерцепторы в полёте и произвести посадку на ближайшем аэродроме.</w:t>
      </w:r>
    </w:p>
    <w:p w:rsidR="005C30CD" w:rsidRDefault="005C30CD" w:rsidP="005C30CD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заклинивания системы управления элеронами у КВС, управление по крену сможет осуществлять только второй пилот с помощью интерцепторов-элеронов, которые задействуются при повороте рулевого колеса на угол более 10°.</w:t>
      </w:r>
    </w:p>
    <w:p w:rsidR="005C30CD" w:rsidRDefault="005C30CD" w:rsidP="005C30CD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Секции интерцепторов-элеронов запитаны симметрично от гидросистем А и В (по две секции интерцепторов-элеронов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полукрыльях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каждую гидросистему). Поэтому при отказе одной из них эффективность интерцепторов в управлении самолётом по крену уменьшается в два раза. Секции тормозных интерцепторов запитаны от гидросистемы А. Этим объясняется парадокс, что при отказе гидросистемы А и посадочных закрылках 40 потребная посадочная дистанция больше, чем при отказе гидросистемы В и посадочных закрылках 15.</w:t>
      </w:r>
    </w:p>
    <w:p w:rsidR="005C30CD" w:rsidRDefault="005C30CD" w:rsidP="005C30CD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отчету комиссии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AAIB о расследовании инцидента с Боингом 737-300 авиакомпании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Thomsonfly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произошедшего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Bournemouth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(Великобритания) 23 сентября 2007 года,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полного отклонения руля высоты не хватило для парирования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кабрирующего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момента от двигателей</w:t>
      </w:r>
      <w:r>
        <w:rPr>
          <w:rFonts w:ascii="Arial" w:hAnsi="Arial" w:cs="Arial"/>
          <w:color w:val="000000"/>
          <w:sz w:val="20"/>
          <w:szCs w:val="20"/>
        </w:rPr>
        <w:t xml:space="preserve">. Выводя самолет из режима сваливания, экипаж вывел двигатели на режим, превышающий полную взлетную мощность. При этом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тангаж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самолета увеличился до 44 градусов, несмотря на то, что командир полностью отклонил штурвальную колонку от себя.</w:t>
      </w:r>
    </w:p>
    <w:p w:rsidR="005760DA" w:rsidRDefault="005C30CD"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17F"/>
    <w:multiLevelType w:val="multilevel"/>
    <w:tmpl w:val="353E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A00CC"/>
    <w:multiLevelType w:val="multilevel"/>
    <w:tmpl w:val="9A7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568BA"/>
    <w:multiLevelType w:val="multilevel"/>
    <w:tmpl w:val="037C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75B21"/>
    <w:multiLevelType w:val="multilevel"/>
    <w:tmpl w:val="7BFA9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D0"/>
    <w:rsid w:val="00137464"/>
    <w:rsid w:val="002912C6"/>
    <w:rsid w:val="00295E85"/>
    <w:rsid w:val="003F1701"/>
    <w:rsid w:val="005C30CD"/>
    <w:rsid w:val="00694292"/>
    <w:rsid w:val="00711C99"/>
    <w:rsid w:val="00723194"/>
    <w:rsid w:val="00806790"/>
    <w:rsid w:val="009407D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50AAB-B343-4AEC-A6B5-0EBD3B75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2016-11-06T21:18:00Z</dcterms:created>
  <dcterms:modified xsi:type="dcterms:W3CDTF">2016-11-06T21:18:00Z</dcterms:modified>
</cp:coreProperties>
</file>